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CC394" w14:textId="6336D132" w:rsidR="008B7BE6" w:rsidRPr="00A03532" w:rsidRDefault="00A03532" w:rsidP="00A03532">
      <w:pPr>
        <w:jc w:val="center"/>
        <w:rPr>
          <w:rFonts w:ascii="黑体" w:eastAsia="黑体" w:hAnsi="黑体"/>
        </w:rPr>
      </w:pPr>
      <w:r w:rsidRPr="00A03532">
        <w:rPr>
          <w:rFonts w:ascii="黑体" w:eastAsia="黑体" w:hAnsi="黑体"/>
        </w:rPr>
        <w:t>新一代人工智能伦理规范</w:t>
      </w:r>
    </w:p>
    <w:p w14:paraId="48E7A7DF" w14:textId="77777777" w:rsidR="00A03532" w:rsidRPr="00A03532" w:rsidRDefault="00A03532" w:rsidP="00A03532">
      <w:pPr>
        <w:jc w:val="center"/>
        <w:rPr>
          <w:rFonts w:ascii="黑体" w:eastAsia="黑体" w:hAnsi="黑体"/>
        </w:rPr>
      </w:pPr>
    </w:p>
    <w:p w14:paraId="37CB1E26" w14:textId="79FACFE3" w:rsidR="00A03532" w:rsidRPr="00A03532" w:rsidRDefault="00A03532" w:rsidP="00A03532">
      <w:pPr>
        <w:jc w:val="center"/>
        <w:rPr>
          <w:rFonts w:ascii="黑体" w:eastAsia="黑体" w:hAnsi="黑体"/>
        </w:rPr>
      </w:pPr>
      <w:r w:rsidRPr="00A03532">
        <w:rPr>
          <w:rFonts w:ascii="黑体" w:eastAsia="黑体" w:hAnsi="黑体"/>
        </w:rPr>
        <w:t>国家新一代人工智能治理专业委员会2021年发布的人工智能治理领域的标准</w:t>
      </w:r>
    </w:p>
    <w:p w14:paraId="58B70682" w14:textId="77777777" w:rsidR="00A03532" w:rsidRDefault="00A03532"/>
    <w:p w14:paraId="18860DDC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日，</w:t>
      </w:r>
      <w:r>
        <w:rPr>
          <w:rFonts w:hint="eastAsia"/>
        </w:rPr>
        <w:t>2021</w:t>
      </w:r>
      <w:r>
        <w:rPr>
          <w:rFonts w:hint="eastAsia"/>
        </w:rPr>
        <w:t>中关村论坛在中关村国家自主创新示范区展示中心举行全体会议，会上，国家新一代人工智能治理专业委员会主任薛澜发布了《新一代人工智能伦理规范》，旨在将伦理融入人工智能全生命周期，为从事人工智能相关活动的自然人、法人和其他相关机构等提供伦理指引，促进人工智能健康发展。</w:t>
      </w:r>
    </w:p>
    <w:p w14:paraId="69CE7EB2" w14:textId="5E0185E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当前，全球人工智能发展进入新阶段，正在深刻改变人类社会生活、改变世界。为促进新一代人工智能健康发展，更好地协调发展与治理的关系，积极推动人工智能全球治理，亟需加强人工智能伦理问题研究与治理。</w:t>
      </w:r>
    </w:p>
    <w:p w14:paraId="31DF6156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《新一代人工智能伦理规范》充分考虑当前社会各界有关隐私、偏见、歧视、公平等伦理关切，针对人工智能管理、研发、供应、使用等活动提出了六项基本伦理要求和四方面特定伦理规范。</w:t>
      </w:r>
    </w:p>
    <w:p w14:paraId="61A5DE95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《新一代人工智能伦理规范》指出，在使用规范方面，应提倡善意使用，避免误用滥用，禁止违规恶用，及时主动反馈，提高使用能力；在研发规范方面，应强化自律意识，提升数据质量，增强安全透明，避免偏见歧视。</w:t>
      </w:r>
    </w:p>
    <w:p w14:paraId="3358D8C4" w14:textId="6CED97DA" w:rsidR="00A03532" w:rsidRDefault="00A03532" w:rsidP="00A03532">
      <w:pPr>
        <w:ind w:firstLineChars="202" w:firstLine="424"/>
      </w:pPr>
      <w:r>
        <w:rPr>
          <w:rFonts w:hint="eastAsia"/>
        </w:rPr>
        <w:t>《新一代人工智能伦理规范》的制定，有助于深入贯彻《新一代人工智能发展规划》，细化落实《新一代人工智能治理原则》，增强全社会的人工智能伦理意识与行为自觉，积极引导负责任的人工智能研发与应用活动，促进人工智能健康发展。</w:t>
      </w:r>
    </w:p>
    <w:p w14:paraId="1798B2E7" w14:textId="77777777" w:rsidR="00A03532" w:rsidRDefault="00A03532" w:rsidP="00A03532">
      <w:pPr>
        <w:ind w:firstLineChars="202" w:firstLine="424"/>
        <w:rPr>
          <w:rFonts w:hint="eastAsia"/>
        </w:rPr>
      </w:pPr>
    </w:p>
    <w:p w14:paraId="03433837" w14:textId="72809A7C" w:rsidR="00A03532" w:rsidRPr="00A03532" w:rsidRDefault="00A03532" w:rsidP="00A03532">
      <w:pPr>
        <w:rPr>
          <w:rFonts w:ascii="黑体" w:eastAsia="黑体" w:hAnsi="黑体"/>
          <w:color w:val="FF0000"/>
        </w:rPr>
      </w:pPr>
      <w:r w:rsidRPr="00A03532">
        <w:rPr>
          <w:rFonts w:ascii="黑体" w:eastAsia="黑体" w:hAnsi="黑体" w:hint="eastAsia"/>
          <w:color w:val="FF0000"/>
        </w:rPr>
        <w:t>主要内容</w:t>
      </w:r>
    </w:p>
    <w:p w14:paraId="24E4DAC1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《新一代人工智能伦理规范》，提出在提供人工智能产品和服务时，应充分尊重和帮助弱势群体、特殊群体，并根据需要提供相应替代方案。同时要保障人类拥有充分自主决策权，确保人工智能始终处于人类控制之下。</w:t>
      </w:r>
    </w:p>
    <w:p w14:paraId="7AA8EA50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《伦理规范》提出了增进人类福祉、促进公平公正、保护隐私安全、确保可控可信、强化责任担当、提升伦理素养</w:t>
      </w:r>
      <w:r>
        <w:rPr>
          <w:rFonts w:hint="eastAsia"/>
        </w:rPr>
        <w:t>6</w:t>
      </w:r>
      <w:r>
        <w:rPr>
          <w:rFonts w:hint="eastAsia"/>
        </w:rPr>
        <w:t>项基本伦理要求。人工智能各类活动应增进人类福祉，坚持公共利益优先，促进人机和谐友好。同时应促进公平公正，坚持普惠性和包容性，促进社会公平正义和机会均等。在提供人工智能产品和服务时，应充分尊重和帮助弱势群体、特殊群体，并根据需要提供相应替代方案。</w:t>
      </w:r>
    </w:p>
    <w:p w14:paraId="3D31F4DA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人工智能各类活动应保护隐私安全，充分尊重个人信息知情、同意等权利，保障个人隐私与数据安全，不得损害个人合法数据权益，不得以窃取、篡改、泄露等方式非法收集利用个人信息，不得侵害个人隐私权。要保障人类拥有充分自主决策权，有权选择是否接受人工智能提供的服务、有权随时退出与人工智能的交互、有权随时中止人工智能系统的运行，确保人工智能始终处于人类控制之下。</w:t>
      </w:r>
    </w:p>
    <w:p w14:paraId="408B175A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《伦理规范》明确，要坚持人类是最终责任主体，在人工智能全生命周期各环节自省自律，建立人工智能问责机制，不回避责任审查，不逃避应负责任。积极学习和普及人工智能伦理知识，客观认识伦理问题，不低估不夸大伦理风险。</w:t>
      </w:r>
    </w:p>
    <w:p w14:paraId="330BAE77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在研发方面，要增强安全透明。增强人工智能系统的韧性、自适应性和抗干扰能力，逐步实现可验证、可审核、可监督、可追溯、可预测、可信赖。要避免偏见歧视。在数据采集和算法开发中，加强伦理审查，充分考虑差异化诉求，避免可能存在的数据与算法偏见。</w:t>
      </w:r>
    </w:p>
    <w:p w14:paraId="6230CBBE" w14:textId="09A84162" w:rsidR="00A03532" w:rsidRDefault="00A03532" w:rsidP="00A03532">
      <w:pPr>
        <w:ind w:firstLineChars="202" w:firstLine="424"/>
      </w:pPr>
      <w:r>
        <w:rPr>
          <w:rFonts w:hint="eastAsia"/>
        </w:rPr>
        <w:t>在供应方面，在产品与服务中使用人工智能技术应明确告知用户，保障用户知情、同意等权利。为用户选择使用或退出人工智能模式提供简便易懂的解决方案，不得为用户平等使用人工智能设置障碍。</w:t>
      </w:r>
    </w:p>
    <w:p w14:paraId="5392D0FE" w14:textId="77777777" w:rsidR="00A03532" w:rsidRDefault="00A03532" w:rsidP="00A03532">
      <w:pPr>
        <w:ind w:firstLineChars="202" w:firstLine="424"/>
      </w:pPr>
    </w:p>
    <w:p w14:paraId="3FBF3E13" w14:textId="77777777" w:rsidR="00A03532" w:rsidRDefault="00A03532" w:rsidP="00A03532">
      <w:pPr>
        <w:ind w:firstLineChars="202" w:firstLine="424"/>
        <w:rPr>
          <w:rFonts w:hint="eastAsia"/>
        </w:rPr>
      </w:pPr>
    </w:p>
    <w:p w14:paraId="050520ED" w14:textId="77777777" w:rsidR="00A03532" w:rsidRPr="00A03532" w:rsidRDefault="00A03532" w:rsidP="00A03532">
      <w:pPr>
        <w:rPr>
          <w:rFonts w:ascii="黑体" w:eastAsia="黑体" w:hAnsi="黑体" w:hint="eastAsia"/>
          <w:color w:val="FF0000"/>
        </w:rPr>
      </w:pPr>
      <w:r w:rsidRPr="00A03532">
        <w:rPr>
          <w:rFonts w:ascii="黑体" w:eastAsia="黑体" w:hAnsi="黑体" w:hint="eastAsia"/>
          <w:color w:val="FF0000"/>
        </w:rPr>
        <w:t>全文</w:t>
      </w:r>
    </w:p>
    <w:p w14:paraId="114D35AD" w14:textId="77777777" w:rsidR="00A03532" w:rsidRDefault="00A03532" w:rsidP="00A03532">
      <w:pPr>
        <w:jc w:val="center"/>
        <w:rPr>
          <w:rFonts w:hint="eastAsia"/>
        </w:rPr>
      </w:pPr>
      <w:r>
        <w:rPr>
          <w:rFonts w:hint="eastAsia"/>
        </w:rPr>
        <w:t>新一代人工智能伦理规范</w:t>
      </w:r>
    </w:p>
    <w:p w14:paraId="5A10E84A" w14:textId="1921AAC3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为深入贯彻《新一代人工智能发展规划》，细化落实《新一代人工智能治理原则》，增强全社会的人工智能伦理意识与行为自觉，积极引导负责任的人工智能研发与应用活动，促进人工智能健康发展，制定本规范。</w:t>
      </w:r>
    </w:p>
    <w:p w14:paraId="55AC52CC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第一章</w:t>
      </w:r>
      <w:r>
        <w:rPr>
          <w:rFonts w:hint="eastAsia"/>
        </w:rPr>
        <w:t xml:space="preserve"> </w:t>
      </w:r>
      <w:r>
        <w:rPr>
          <w:rFonts w:hint="eastAsia"/>
        </w:rPr>
        <w:t>总则</w:t>
      </w:r>
    </w:p>
    <w:p w14:paraId="4EF135DF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本规范旨在将伦理道德融入人工智能全生命周期，促进公平、公正、和谐、安全，避免偏见、歧视、隐私和信息泄露等问题。</w:t>
      </w:r>
    </w:p>
    <w:p w14:paraId="16AC9D15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本规范适用于从事人工智能管理、研发、供应、使用等相关活动的自然人、法人和其他相关机构等。</w:t>
      </w:r>
    </w:p>
    <w:p w14:paraId="7712E5C6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（一）管理活动主要指人工智能相关的战略规划、政策法规和技术标准制定实施，资源配置以及监督审查等。</w:t>
      </w:r>
    </w:p>
    <w:p w14:paraId="2B05D125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（二）研发活动主要指人工智能相关的科学研究、技术开发、产品研制等。</w:t>
      </w:r>
    </w:p>
    <w:p w14:paraId="193547CB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（三）供应活动主要指人工智能产品与服务相关的生产、运营、销售等。</w:t>
      </w:r>
    </w:p>
    <w:p w14:paraId="2C0FF7EF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（四）使用活动主要指人工智能产品与服务相关的采购、消费、操作等。</w:t>
      </w:r>
    </w:p>
    <w:p w14:paraId="7BA766B5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人工智能各类活动应遵循以下基本伦理规范。</w:t>
      </w:r>
    </w:p>
    <w:p w14:paraId="601C3A9E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一）增进人类福祉。坚持以人为本，遵循人类共同价值观，尊重人权和人类根本利益诉求，遵守国家或地区伦理道德。坚持公共利益优先，促进人机和谐友好，改善民生，增强获得感幸福感，推动经济、社会及生态可持续发展，共建人类命运共同体。</w:t>
      </w:r>
    </w:p>
    <w:p w14:paraId="3601ABD2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二）促进公平公正。坚持普惠性和包容性，切实保护各相关主体合法权益，推动全社会公平共享人工智能带来的益处，促进社会公平正义和机会均等。在提供人工智能产品和服务时，应充分尊重和帮助弱势群体、特殊群体，并根据需要提供相应替代方案。</w:t>
      </w:r>
    </w:p>
    <w:p w14:paraId="79296AC2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三）保护隐私安全。充分尊重个人信息知情、同意等权利，依照合法、正当、必要和诚信原则处理个人信息，保障个人隐私与数据安全，不得损害个人合法数据权益，不得以窃取、篡改、泄露等方式非法收集利用个人信息，不得侵害个人隐私权。</w:t>
      </w:r>
    </w:p>
    <w:p w14:paraId="44F17BA7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（四）确保可控可信。保障人类拥有充分自主决策权，有权选择是否接受人工智能提供的服务，有权随时退出与人工智能的交互，有权随时中止人工智能系统的运行，确保人工智能始终处于人类控制之下。</w:t>
      </w:r>
    </w:p>
    <w:p w14:paraId="7F219426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（五）强化责任担当。坚持人类是最终责任主体，明确利益相关者的责任，全面增强责任意识，在人工智能全生命周期各环节自省自律，建立人工智能问责机制，不回避责任审查，不逃避应负责任。</w:t>
      </w:r>
    </w:p>
    <w:p w14:paraId="463D77E1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（六）提升伦理素养。积极学习和普及人工智能伦理知识，客观认识伦理问题，不低估不夸大伦理风险。主动开展或参与人工智能伦理问题讨论，深入推动人工智能伦理治理实践，提升应对能力。</w:t>
      </w:r>
    </w:p>
    <w:p w14:paraId="3F2CD92A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人工智能特定活动应遵守的伦理规范包括管理规范、研发规范、供应规范和使用规范。</w:t>
      </w:r>
      <w:r>
        <w:rPr>
          <w:rFonts w:hint="eastAsia"/>
        </w:rPr>
        <w:t xml:space="preserve"> [3]</w:t>
      </w:r>
    </w:p>
    <w:p w14:paraId="369405B6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管理规范</w:t>
      </w:r>
    </w:p>
    <w:p w14:paraId="67ABEEB5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推动敏捷治理。尊重人工智能发展规律，充分认识人工智能的潜力与局限，持续优化治理机制和方式，在战略决策、制度建设、资源配置过程中，不脱离实际、不急功近利，有序推动人工智能健康和可持续发展。</w:t>
      </w:r>
    </w:p>
    <w:p w14:paraId="49F17C8E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积极实践示范。遵守人工智能相关法规、政策和标准，主动将人工智能伦理道德融入管理全过程，率先成为人工智能伦理治理的实践者和推动者，及时总结推广人工智能治理经验，积极回应社会对人工智能的伦理关切。</w:t>
      </w:r>
    </w:p>
    <w:p w14:paraId="50443584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lastRenderedPageBreak/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正确行权用权。明确人工智能相关管理活动的职责和权力边界，规范权力运行条件和程序。充分尊重并保障相关主体的隐私、自由、尊严、安全等权利及其他合法权益，禁止权力不当行使对自然人、法人和其他组织合法权益造成侵害。</w:t>
      </w:r>
    </w:p>
    <w:p w14:paraId="63C5F24D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加强风险防范。增强底线思维和风险意识，加强人工智能发展的潜在风险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判，及时开展系统的风险监测和评估，建立有效的风险预警机制，提升人工智能伦理风险管控和处置能力。</w:t>
      </w:r>
    </w:p>
    <w:p w14:paraId="3BED5CA6" w14:textId="6F524A06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促进包容开放。充分重视人工智能各利益相关主体的权益与诉求，鼓励应用多样化的人工智能技术解决经济社会发展实际问题，鼓励跨学科、跨领域、跨地区、跨国界的交流与合作，推动形成具有广泛共识的人工智能治理框架和标准规范。</w:t>
      </w:r>
      <w:r>
        <w:rPr>
          <w:rFonts w:hint="eastAsia"/>
        </w:rPr>
        <w:t xml:space="preserve"> </w:t>
      </w:r>
    </w:p>
    <w:p w14:paraId="1C081CA1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第三章</w:t>
      </w:r>
      <w:r>
        <w:rPr>
          <w:rFonts w:hint="eastAsia"/>
        </w:rPr>
        <w:t xml:space="preserve"> </w:t>
      </w:r>
      <w:r>
        <w:rPr>
          <w:rFonts w:hint="eastAsia"/>
        </w:rPr>
        <w:t>研发规范</w:t>
      </w:r>
    </w:p>
    <w:p w14:paraId="7E3F1B89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第十条</w:t>
      </w:r>
      <w:r>
        <w:rPr>
          <w:rFonts w:hint="eastAsia"/>
        </w:rPr>
        <w:t xml:space="preserve"> </w:t>
      </w:r>
      <w:r>
        <w:rPr>
          <w:rFonts w:hint="eastAsia"/>
        </w:rPr>
        <w:t>强化自律意识。加强人工智能研发相关活动的自我约束，主动将人工智能伦理道德融入技术研发各环节，自觉开展自我审查，加强自我管理，不从事违背伦理道德的人工智能研发。</w:t>
      </w:r>
    </w:p>
    <w:p w14:paraId="561048CF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提升数据质量。在数据收集、存储、使用、加工、传输、提供、公开等环节，严格遵守数据相关法律、标准与规范，提升数据的完整性、及时性、一致性、规范性和准确性等。</w:t>
      </w:r>
    </w:p>
    <w:p w14:paraId="49C618B9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增强安全透明。在算法设计、实现、应用等环节，提升透明性、可解释性、可理解性、可靠性、可控性，增强人工智能系统的韧性、自适应性和抗干扰能力，逐步实现可验证、可审核、可监督、可追溯、可预测、可信赖。</w:t>
      </w:r>
    </w:p>
    <w:p w14:paraId="4FAF3DC8" w14:textId="5E5C5912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避免偏见歧视。在数据采集和算法开发中，加强伦理审查，充分考虑差异化诉求，避免可能存在的数据与算法偏见，努力实现人工智能系统的普惠性、公平性和非歧视性。</w:t>
      </w:r>
      <w:r>
        <w:rPr>
          <w:rFonts w:hint="eastAsia"/>
        </w:rPr>
        <w:t xml:space="preserve"> </w:t>
      </w:r>
    </w:p>
    <w:p w14:paraId="10E213ED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第四章</w:t>
      </w:r>
      <w:r>
        <w:rPr>
          <w:rFonts w:hint="eastAsia"/>
        </w:rPr>
        <w:t xml:space="preserve"> </w:t>
      </w:r>
      <w:r>
        <w:rPr>
          <w:rFonts w:hint="eastAsia"/>
        </w:rPr>
        <w:t>供应规范</w:t>
      </w:r>
    </w:p>
    <w:p w14:paraId="4C231EA6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第十四条</w:t>
      </w:r>
      <w:r>
        <w:rPr>
          <w:rFonts w:hint="eastAsia"/>
        </w:rPr>
        <w:t xml:space="preserve"> </w:t>
      </w:r>
      <w:r>
        <w:rPr>
          <w:rFonts w:hint="eastAsia"/>
        </w:rPr>
        <w:t>尊重市场规则。严格遵守市场准入、竞争、交易等活动的各种规章制度，积极维护市场秩序，营造有利于人工智能发展的市场环境，不得以数据垄断、平台垄断等破坏市场有序竞争，禁止以任何手段侵犯其他主体的知识产权。</w:t>
      </w:r>
    </w:p>
    <w:p w14:paraId="7A5B9EF1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第十五条</w:t>
      </w:r>
      <w:r>
        <w:rPr>
          <w:rFonts w:hint="eastAsia"/>
        </w:rPr>
        <w:t xml:space="preserve"> </w:t>
      </w:r>
      <w:r>
        <w:rPr>
          <w:rFonts w:hint="eastAsia"/>
        </w:rPr>
        <w:t>加强质量管控。强化人工智能产品与服务的质量监测和使用评估，避免因设计和产品缺陷等问题导致的人身安全、财产安全、用户隐私等侵害，不得经营、销售或提供不符合质量标准的产品与服务。</w:t>
      </w:r>
    </w:p>
    <w:p w14:paraId="27ED7F2F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第十六条</w:t>
      </w:r>
      <w:r>
        <w:rPr>
          <w:rFonts w:hint="eastAsia"/>
        </w:rPr>
        <w:t xml:space="preserve"> </w:t>
      </w:r>
      <w:r>
        <w:rPr>
          <w:rFonts w:hint="eastAsia"/>
        </w:rPr>
        <w:t>保障用户权益。在产品与服务中使用人工智能技术应明确告知用户，应标识人工智能产品与服务的功能与局限，保障用户知情、同意等权利。为用户选择使用或退出人工智能模式提供简便易懂的解决方案，不得为用户平等使用人工智能设置障碍。</w:t>
      </w:r>
    </w:p>
    <w:p w14:paraId="5D34FCD3" w14:textId="1F00CC56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第十七条</w:t>
      </w:r>
      <w:r>
        <w:rPr>
          <w:rFonts w:hint="eastAsia"/>
        </w:rPr>
        <w:t xml:space="preserve"> </w:t>
      </w:r>
      <w:r>
        <w:rPr>
          <w:rFonts w:hint="eastAsia"/>
        </w:rPr>
        <w:t>强化应急保障。研究制定应急机制和损失补偿方案或措施，及时监测人工智能系统，及时响应和处理用户的反馈信息，及时防范系统性故障，随时准备协助相关主体依法依规对人工智能系统进行干预，减少损失，规避风险。</w:t>
      </w:r>
    </w:p>
    <w:p w14:paraId="54D400D2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第五章</w:t>
      </w:r>
      <w:r>
        <w:rPr>
          <w:rFonts w:hint="eastAsia"/>
        </w:rPr>
        <w:t xml:space="preserve"> </w:t>
      </w:r>
      <w:r>
        <w:rPr>
          <w:rFonts w:hint="eastAsia"/>
        </w:rPr>
        <w:t>使用规范</w:t>
      </w:r>
    </w:p>
    <w:p w14:paraId="64304DC8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第十八条</w:t>
      </w:r>
      <w:r>
        <w:rPr>
          <w:rFonts w:hint="eastAsia"/>
        </w:rPr>
        <w:t xml:space="preserve"> </w:t>
      </w:r>
      <w:r>
        <w:rPr>
          <w:rFonts w:hint="eastAsia"/>
        </w:rPr>
        <w:t>提倡善意使用。加强人工智能产品与服务使用前的论证和评估，充分了解人工智能产品与服务带来的益处，充分考虑各利益相关主体的合法权益，更好促进经济繁荣、社会进步和可持续发展。</w:t>
      </w:r>
    </w:p>
    <w:p w14:paraId="2C24D52A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第十九条</w:t>
      </w:r>
      <w:r>
        <w:rPr>
          <w:rFonts w:hint="eastAsia"/>
        </w:rPr>
        <w:t xml:space="preserve"> </w:t>
      </w:r>
      <w:r>
        <w:rPr>
          <w:rFonts w:hint="eastAsia"/>
        </w:rPr>
        <w:t>避免误用滥用。充分了解人工智能产品与服务的适用范围和负面影响，切实尊重相关主体不使用人工智能产品或服务的权利，避免不当使用和滥用人工智能产品与服务，避免非故意造成对他人合法权益的损害。</w:t>
      </w:r>
    </w:p>
    <w:p w14:paraId="1C126821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第二十条</w:t>
      </w:r>
      <w:r>
        <w:rPr>
          <w:rFonts w:hint="eastAsia"/>
        </w:rPr>
        <w:t xml:space="preserve"> </w:t>
      </w:r>
      <w:r>
        <w:rPr>
          <w:rFonts w:hint="eastAsia"/>
        </w:rPr>
        <w:t>禁止违规恶用。禁止使用不符合法律法规、伦理道德和标准规范的人工智能产品与服务，禁止使用人工智能产品与服务从事不法活动，严禁危害国家安全、公共安全和生产安全，严禁损害社会公共利益等。</w:t>
      </w:r>
    </w:p>
    <w:p w14:paraId="0931727D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第二十一条</w:t>
      </w:r>
      <w:r>
        <w:rPr>
          <w:rFonts w:hint="eastAsia"/>
        </w:rPr>
        <w:t xml:space="preserve"> </w:t>
      </w:r>
      <w:r>
        <w:rPr>
          <w:rFonts w:hint="eastAsia"/>
        </w:rPr>
        <w:t>及时主动反馈。积极参与人工智能伦理治理实践，对使用人工智能产品与服务过程中发现的技术安全漏洞、政策法规真空、监管滞后等问题，应及时向相关主体反馈，并协助解决。</w:t>
      </w:r>
    </w:p>
    <w:p w14:paraId="4901D73D" w14:textId="3BC2E4DC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第二十二条</w:t>
      </w:r>
      <w:r>
        <w:rPr>
          <w:rFonts w:hint="eastAsia"/>
        </w:rPr>
        <w:t xml:space="preserve"> </w:t>
      </w:r>
      <w:r>
        <w:rPr>
          <w:rFonts w:hint="eastAsia"/>
        </w:rPr>
        <w:t>提高使用能力。积极学习人工智能相关知识，主动掌握人工智能产品与服务的运</w:t>
      </w:r>
      <w:r>
        <w:rPr>
          <w:rFonts w:hint="eastAsia"/>
        </w:rPr>
        <w:lastRenderedPageBreak/>
        <w:t>营、维护、应急处置等各使用环节所需技能，确保人工智能产品与服务安全使用和高效利用。</w:t>
      </w:r>
    </w:p>
    <w:p w14:paraId="66AB10FB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第六章</w:t>
      </w:r>
      <w:r>
        <w:rPr>
          <w:rFonts w:hint="eastAsia"/>
        </w:rPr>
        <w:t xml:space="preserve"> </w:t>
      </w:r>
      <w:r>
        <w:rPr>
          <w:rFonts w:hint="eastAsia"/>
        </w:rPr>
        <w:t>组织实施</w:t>
      </w:r>
    </w:p>
    <w:p w14:paraId="4BB75482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第二十三条</w:t>
      </w:r>
      <w:r>
        <w:rPr>
          <w:rFonts w:hint="eastAsia"/>
        </w:rPr>
        <w:t xml:space="preserve"> </w:t>
      </w:r>
      <w:r>
        <w:rPr>
          <w:rFonts w:hint="eastAsia"/>
        </w:rPr>
        <w:t>本规范由国家新一代人工智能治理专业委员会发布，并负责解释和指导实施。</w:t>
      </w:r>
    </w:p>
    <w:p w14:paraId="5331EB92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第二十四条</w:t>
      </w:r>
      <w:r>
        <w:rPr>
          <w:rFonts w:hint="eastAsia"/>
        </w:rPr>
        <w:t xml:space="preserve"> </w:t>
      </w:r>
      <w:r>
        <w:rPr>
          <w:rFonts w:hint="eastAsia"/>
        </w:rPr>
        <w:t>各级管理部门、企业、高校、科研院所、协会学会和其他相关机构可依据本规范，结合实际需求，制订更为具体的伦理规范和相关措施。</w:t>
      </w:r>
    </w:p>
    <w:p w14:paraId="3D2732E8" w14:textId="77777777" w:rsidR="00A03532" w:rsidRDefault="00A03532" w:rsidP="00A03532">
      <w:pPr>
        <w:ind w:firstLineChars="202" w:firstLine="424"/>
        <w:rPr>
          <w:rFonts w:hint="eastAsia"/>
        </w:rPr>
      </w:pPr>
      <w:r>
        <w:rPr>
          <w:rFonts w:hint="eastAsia"/>
        </w:rPr>
        <w:t>第二十五条</w:t>
      </w:r>
      <w:r>
        <w:rPr>
          <w:rFonts w:hint="eastAsia"/>
        </w:rPr>
        <w:t xml:space="preserve"> </w:t>
      </w:r>
      <w:r>
        <w:rPr>
          <w:rFonts w:hint="eastAsia"/>
        </w:rPr>
        <w:t>本规范自公布之日起施行，并根据经济社会发展需求和人工智能发展情况适时修订。</w:t>
      </w:r>
    </w:p>
    <w:p w14:paraId="68D39B2C" w14:textId="77777777" w:rsidR="00A03532" w:rsidRDefault="00A03532" w:rsidP="00A03532">
      <w:pPr>
        <w:ind w:firstLineChars="202" w:firstLine="424"/>
      </w:pPr>
    </w:p>
    <w:p w14:paraId="023CBD51" w14:textId="77777777" w:rsidR="00A03532" w:rsidRDefault="00A03532" w:rsidP="00A03532"/>
    <w:p w14:paraId="23D8B338" w14:textId="18F4CBD7" w:rsidR="00A03532" w:rsidRDefault="00A03532" w:rsidP="00A03532">
      <w:pPr>
        <w:jc w:val="right"/>
        <w:rPr>
          <w:rFonts w:hint="eastAsia"/>
        </w:rPr>
      </w:pPr>
      <w:r>
        <w:rPr>
          <w:rFonts w:hint="eastAsia"/>
        </w:rPr>
        <w:t>国家新一代人工智能治理专业委员会</w:t>
      </w:r>
    </w:p>
    <w:p w14:paraId="045CF92A" w14:textId="3CA312CF" w:rsidR="00A03532" w:rsidRDefault="00A03532" w:rsidP="00A03532">
      <w:pPr>
        <w:jc w:val="right"/>
      </w:pP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</w:t>
      </w:r>
    </w:p>
    <w:p w14:paraId="19757209" w14:textId="77777777" w:rsidR="00A03532" w:rsidRDefault="00A03532" w:rsidP="00A03532">
      <w:pPr>
        <w:jc w:val="right"/>
        <w:rPr>
          <w:rFonts w:hint="eastAsia"/>
        </w:rPr>
      </w:pPr>
    </w:p>
    <w:sectPr w:rsidR="00A03532" w:rsidSect="00EF7A37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607A4" w14:textId="77777777" w:rsidR="00BD4BD7" w:rsidRDefault="00BD4BD7" w:rsidP="00A03532">
      <w:r>
        <w:separator/>
      </w:r>
    </w:p>
  </w:endnote>
  <w:endnote w:type="continuationSeparator" w:id="0">
    <w:p w14:paraId="27F7A5C2" w14:textId="77777777" w:rsidR="00BD4BD7" w:rsidRDefault="00BD4BD7" w:rsidP="00A0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FC5DA" w14:textId="77777777" w:rsidR="00BD4BD7" w:rsidRDefault="00BD4BD7" w:rsidP="00A03532">
      <w:r>
        <w:separator/>
      </w:r>
    </w:p>
  </w:footnote>
  <w:footnote w:type="continuationSeparator" w:id="0">
    <w:p w14:paraId="5F986F68" w14:textId="77777777" w:rsidR="00BD4BD7" w:rsidRDefault="00BD4BD7" w:rsidP="00A03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63955"/>
    <w:rsid w:val="003919A4"/>
    <w:rsid w:val="00851BA2"/>
    <w:rsid w:val="008B7BE6"/>
    <w:rsid w:val="00A03532"/>
    <w:rsid w:val="00BD11B8"/>
    <w:rsid w:val="00BD4BD7"/>
    <w:rsid w:val="00CD15E8"/>
    <w:rsid w:val="00E63955"/>
    <w:rsid w:val="00E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07CDA"/>
  <w15:chartTrackingRefBased/>
  <w15:docId w15:val="{B406775C-0E3C-4263-B4A2-375A6B43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5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35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3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3532"/>
    <w:rPr>
      <w:sz w:val="18"/>
      <w:szCs w:val="18"/>
    </w:rPr>
  </w:style>
  <w:style w:type="character" w:styleId="a7">
    <w:name w:val="Hyperlink"/>
    <w:basedOn w:val="a0"/>
    <w:uiPriority w:val="99"/>
    <w:unhideWhenUsed/>
    <w:rsid w:val="00A03532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035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43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80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90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2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06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1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7356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  <w:divsChild>
            <w:div w:id="18220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21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3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805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1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70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9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63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5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29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10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6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12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13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5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6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7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12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881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2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16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134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2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93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136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74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47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9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6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00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80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7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5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6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6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00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8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50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5591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</w:divsChild>
    </w:div>
    <w:div w:id="9266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9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26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30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4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77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</w:divsChild>
    </w:div>
    <w:div w:id="1993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92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87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89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99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81011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  <w:divsChild>
            <w:div w:id="178010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973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4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994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8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49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3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6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2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91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8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56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9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9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95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753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2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84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5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9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38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248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67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9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916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489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30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8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6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60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826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1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49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72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38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46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28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92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59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45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4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爱萍 丁</dc:creator>
  <cp:keywords/>
  <dc:description/>
  <cp:lastModifiedBy>爱萍 丁</cp:lastModifiedBy>
  <cp:revision>3</cp:revision>
  <dcterms:created xsi:type="dcterms:W3CDTF">2024-11-19T01:51:00Z</dcterms:created>
  <dcterms:modified xsi:type="dcterms:W3CDTF">2024-11-19T01:55:00Z</dcterms:modified>
</cp:coreProperties>
</file>